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b w:val="1"/>
          <w:color w:val="434343"/>
          <w:sz w:val="26"/>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20"/>
        <w:gridCol w:w="11640"/>
      </w:tblGrid>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Januar 2014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neuer Internetauftritt des MMM geht online - www.themusicpoint.net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9.11.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Netzwerktreffen der jungen Görlitzer Vereine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GESCHICHTSTAG – Informationstag zum Stalag VIII A mit Vorträgen und Sonderführungen in den Städtischen Museen Görlitz, Schlesisches Museum, Ratsarchiv sowie in Zgorzelec</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12.1.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MUSIKTAG – Informationstag zur Musik Olivier Messiaens mit Vorträgen und musikalischer Umrahmung im Senckenbergmuseum für Naturkunde sowie einer Ausstellungeröffnung mit Bildern zur Musik Messiaens in Zgorzelec</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15.1.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QUARTETT AUF DAS ENDE DER ZEIT</w:t>
            </w:r>
            <w:r w:rsidRPr="00000000" w:rsidR="00000000" w:rsidDel="00000000">
              <w:rPr>
                <w:rFonts w:cs="Tahoma" w:hAnsi="Tahoma" w:eastAsia="Tahoma" w:ascii="Tahoma"/>
                <w:sz w:val="20"/>
                <w:rtl w:val="0"/>
              </w:rPr>
              <w:t xml:space="preserve">, Konzert im Zelt auf dem Gelände des ehemaligen StaLag VIIIa in Zgorzelec-Ujazd mit dem jungen belgischen Quartett TetraGonist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22.1.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Vorstellung des MEETINGPOINT MUSIC MESSIAEN</w:t>
              <w:tab/>
              <w:t xml:space="preserve">beim SeniorKompetenzTeam in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22.1.</w:t>
            </w:r>
            <w:r w:rsidRPr="00000000" w:rsidR="00000000" w:rsidDel="00000000">
              <w:rPr>
                <w:rFonts w:cs="Tahoma" w:hAnsi="Tahoma" w:eastAsia="Tahoma" w:ascii="Tahoma"/>
                <w:sz w:val="20"/>
                <w:rtl w:val="0"/>
              </w:rPr>
              <w:tab/>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Kulturmittlertreffen im Generalkonsulat Breslau, der MEETINGPOINT nimmt zum wiederholten Male teil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27.1.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Gedenktag für die Opfer nationalsozialistischer Verfolgung und Vernichtung. Der MEETINGPOINT nimmt an der Gedenkveranstaltung im Sächsischen Landtag teil.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Februar 2014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13.02.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Der MEETINGPOINT bekommt den Zuschlag für die “Internationale, grenzüberschreitende Jugendarbeit in der Europastadt Görlitz-Zgorzelec”</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18.02.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sz w:val="20"/>
                <w:rtl w:val="0"/>
              </w:rPr>
              <w:t xml:space="preserve">Teilnahme an der Kickoff Veranstaltung zur RABRYKA (Stadtplanung zum Soziokulturellen Zentrum in </w:t>
            </w:r>
            <w:commentRangeStart w:id="0"/>
            <w:r w:rsidRPr="00000000" w:rsidR="00000000" w:rsidDel="00000000">
              <w:rPr>
                <w:rFonts w:cs="Tahoma" w:hAnsi="Tahoma" w:eastAsia="Tahoma" w:ascii="Tahoma"/>
                <w:sz w:val="20"/>
                <w:rtl w:val="0"/>
              </w:rPr>
              <w:t xml:space="preserve">Görlitz</w:t>
            </w:r>
            <w:commentRangeEnd w:id="0"/>
            <w:r w:rsidRPr="00000000" w:rsidR="00000000" w:rsidDel="00000000">
              <w:commentReference w:id="0"/>
            </w:r>
            <w:r w:rsidRPr="00000000" w:rsidR="00000000" w:rsidDel="00000000">
              <w:rPr>
                <w:rFonts w:cs="Tahoma" w:hAnsi="Tahoma" w:eastAsia="Tahoma" w:ascii="Tahoma"/>
                <w:sz w:val="20"/>
                <w:rtl w:val="0"/>
              </w:rPr>
              <w:t xml:space="preserv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März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4.3.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Öffentliche, historische Führung auf dem Gelände des Stalag VIII A. Außerdem wurde ein Einblick in die Projektarbeit des MEETINGPOINT gewährt.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8.-22.3.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Deutsch-polnischer Tandem-Kurs in Zusammenarbeit mit dem Edith-Stein-Haus Wrocław. TeilnehmerInnen aus beiden Ländern lernen die Sprache des Nachbarn und ihre Nachbarn besser kennen.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11.3.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Teilnahme an der Solidaritätsbekundung für die Ukraine (organisiert durch die Stadt Zgorzelec)</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18.3.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Vortsellung des MEETINGPOINT-Projektes im Edith Stein Haus in Breslau vor Multiplikatoren des deutsch-polnischen Jugendaustausches (Teilnehmer des Tandems)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20.3.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sz w:val="20"/>
                <w:rtl w:val="0"/>
              </w:rPr>
              <w:t xml:space="preserve">Besuch des deutschen Generalskonsuls Herrn Dr. Gottfried Zeits und Frau Ursula Elbers aus Breslau im MEETINGPOINT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21.3.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Teilnahme des MMM an der 4. Bildungskonferenz des Landkreises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29.3.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Mitwirkung des MMM am Schlesischen Nachtlesen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29.3.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Teilnahme des MMM am “Kreativlabor Oberlausitz: Wir sind Oberlauzitz - und das sind unsere Themen”</w:t>
            </w: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April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6.4.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Konzert 20 Jahre Sinfonietta Dresden, 17 Uhr in der Synagoge zu Görlitz</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Mai 2014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sz w:val="20"/>
                <w:rtl w:val="0"/>
              </w:rPr>
              <w:t xml:space="preserve">1.5.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“10 Jahre EU-Erweiterung” - große Festveranstaltung in Görlitz-Zgorzelec. Der MEETINGPOINT und andere Akteure der grenzüberschreitenden Jugendarbeit stellen sich vor. (Koordination durch MMM)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3.-10.5.</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Workshop zum Thema „Totalitarismus“ (Stalag VIII A und Messiaen) im Rahmen der deutsch-italienischen Schülerbegegnung am BSZ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10.5.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Besuch der Generalprobe der Staatskapelle Dresden für junge Menschen aus der Dreiländerregion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ahoma" w:hAnsi="Tahoma" w:eastAsia="Tahoma" w:ascii="Tahoma"/>
                <w:b w:val="1"/>
                <w:sz w:val="20"/>
                <w:rtl w:val="0"/>
              </w:rPr>
              <w:t xml:space="preserve">21.5.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ahoma" w:hAnsi="Tahoma" w:eastAsia="Tahoma" w:ascii="Tahoma"/>
                <w:sz w:val="20"/>
                <w:rtl w:val="0"/>
              </w:rPr>
              <w:t xml:space="preserve">Kulturpciknick - Veranstaltung des Philharmonische Brücken e.V. - Teilnahme und Präsentation des MMM sowie künstlerischer Beitrag beim Kulturpicknick vor dem Theater Görlitz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24.5.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sz w:val="20"/>
                <w:rtl w:val="0"/>
              </w:rPr>
              <w:t xml:space="preserve">FAIRwandeln - Familienfest des Tierra - eine Welt e.V. - Teilnahme, Präsentation und künstelrischer Beitrag des MMM</w:t>
            </w: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Juni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Präsentation des MEETINGPOINT MUSIC MESSIAEN beim Europamarathon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6.-8.6.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KUNST:offen - Teilnahme des MEETINGPOINT MUSIC MESSIAEN (Präsentation des Zentrums und Einladung zur KUNSTPAUSE)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commentRangeStart w:id="1"/>
            <w:commentRangeStart w:id="2"/>
            <w:commentRangeStart w:id="3"/>
            <w:r w:rsidRPr="00000000" w:rsidR="00000000" w:rsidDel="00000000">
              <w:rPr>
                <w:rFonts w:cs="Tahoma" w:hAnsi="Tahoma" w:eastAsia="Tahoma" w:ascii="Tahoma"/>
                <w:b w:val="1"/>
                <w:sz w:val="20"/>
                <w:rtl w:val="0"/>
              </w:rPr>
              <w:t xml:space="preserve">18</w:t>
            </w:r>
            <w:commentRangeEnd w:id="1"/>
            <w:r w:rsidRPr="00000000" w:rsidR="00000000" w:rsidDel="00000000">
              <w:commentReference w:id="1"/>
            </w:r>
            <w:commentRangeEnd w:id="2"/>
            <w:r w:rsidRPr="00000000" w:rsidR="00000000" w:rsidDel="00000000">
              <w:commentReference w:id="2"/>
            </w:r>
            <w:commentRangeEnd w:id="3"/>
            <w:r w:rsidRPr="00000000" w:rsidR="00000000" w:rsidDel="00000000">
              <w:commentReference w:id="3"/>
            </w:r>
            <w:r w:rsidRPr="00000000" w:rsidR="00000000" w:rsidDel="00000000">
              <w:rPr>
                <w:rFonts w:cs="Tahoma" w:hAnsi="Tahoma" w:eastAsia="Tahoma" w:ascii="Tahoma"/>
                <w:b w:val="1"/>
                <w:sz w:val="20"/>
                <w:rtl w:val="0"/>
              </w:rPr>
              <w:t xml:space="preserve">.-28.6.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LIVE ACT MASTERS – deutsch-polnisches Musikprojekt, bei dem junge Musiker und DJs miteinander in Kontakt kommen, sich austauschen, fachlich angeleitet werden und musikalische Auftritte für die angesagtesten Breslauer Clubs vorbereiten. Elektronische und klassische Musik werden dabei in einer neuen Form miteinander verschmolzen.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11.6.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KUNSTPAUSE - 10:00 - 24:00 Uhr  – multimediales Kunst- und Musikfest für Kinder und Jugendliche aus der Dreiländerregion in und um das Theater Görlitz. Ca. 500 junge Teilnehmer aus allen Schulen, verschiedenen Vereinen und Einrichtungen beteiligen sich mit musikalischen, theatralischen und künstlerischen Beiträgen auf der Plattform, die der MEETINGPOINT in Zusammenarbeit mit dem Theater bietet. Dabei lernen sich die jungen Künstler gegenseitig und auch selbst besser kennen.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21.6.</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Feté de la Musique </w:t>
            </w:r>
            <w:r w:rsidRPr="00000000" w:rsidR="00000000" w:rsidDel="00000000">
              <w:rPr>
                <w:rFonts w:cs="Tahoma" w:hAnsi="Tahoma" w:eastAsia="Tahoma" w:ascii="Tahoma"/>
                <w:sz w:val="26"/>
                <w:rtl w:val="0"/>
              </w:rPr>
              <w:tab/>
              <w:tab/>
            </w:r>
            <w:r w:rsidRPr="00000000" w:rsidR="00000000" w:rsidDel="00000000">
              <w:rPr>
                <w:rFonts w:cs="Tahoma" w:hAnsi="Tahoma" w:eastAsia="Tahoma" w:ascii="Tahoma"/>
                <w:b w:val="1"/>
                <w:sz w:val="26"/>
                <w:rtl w:val="0"/>
              </w:rPr>
              <w:tab/>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22.-26.6.</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Deutsch-polnisches Workcamp – Bereits zum vierten Mal kommen Schüler und Lehrer der Werner-Stephan-Schule aus Berlin Tempelhof zu Pflegearbeiten auf </w:t>
              <w:tab/>
              <w:t xml:space="preserve">das Gelände des ehemaligen Stalag VIII A. Besonders nehmen sie </w:t>
              <w:tab/>
              <w:t xml:space="preserve">sich dem Friedhof an und fertigen Tontafeln mit den Namen der dort liegenden Toten an. Zum zweiten Mal findet das Workcamp in Zusammenarbeit mit der Europaschule in Sulików statt, der Partnerschule des MEETINGPOINT. Die Schüler lernen sich und ihre Kulturen gegenseitig kennen und engagieren sich in der Friedensarbeit.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ahoma" w:hAnsi="Tahoma" w:eastAsia="Tahoma" w:ascii="Tahoma"/>
                <w:b w:val="1"/>
                <w:sz w:val="20"/>
                <w:rtl w:val="0"/>
              </w:rPr>
              <w:t xml:space="preserve">26.6.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09:00 Uhr - Öffentliche, feierliche Gedenk- und Abschlussveranstaltung des deutsch-polnischen Workcamps</w:t>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Juli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sz w:val="20"/>
                <w:rtl w:val="0"/>
              </w:rPr>
              <w:t xml:space="preserve">5.7.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Besuch der Generalprobe der Staatskapelle Dresden für junge Menschen aus der Dreiländerregion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26.7.-9.8.</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pPr>
            <w:r w:rsidRPr="00000000" w:rsidR="00000000" w:rsidDel="00000000">
              <w:rPr>
                <w:rFonts w:cs="Tahoma" w:hAnsi="Tahoma" w:eastAsia="Tahoma" w:ascii="Tahoma"/>
                <w:sz w:val="20"/>
                <w:rtl w:val="0"/>
              </w:rPr>
              <w:t xml:space="preserve">VII. Internationales WORKCAMP und METALLBAUWERKSTATT – Aufräum- und Pflegearbeiten auf dem Gelände des ehemaligen Kriegsgefangenenlagers Stalag VIII A mit Jugendlichen aus verschiedenen Ländern. Beim Metallskulpturenbau mit Matthias Beier entsteht eine weitere Skulptur zum Quartett auf das Ende der Zeit in Zusammenarbeit mit den TeilnehmerInnen.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August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sz w:val="20"/>
                <w:rtl w:val="0"/>
              </w:rPr>
              <w:t xml:space="preserve">8.8.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17:00 Uhr - Feierliche Gedenk- und Abschlussveranstaltung des Internationalen Workcamps “Creating a Common Future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commentRangeStart w:id="4"/>
            <w:commentRangeStart w:id="5"/>
            <w:r w:rsidRPr="00000000" w:rsidR="00000000" w:rsidDel="00000000">
              <w:rPr>
                <w:rFonts w:cs="Tahoma" w:hAnsi="Tahoma" w:eastAsia="Tahoma" w:ascii="Tahoma"/>
                <w:b w:val="1"/>
                <w:sz w:val="20"/>
                <w:rtl w:val="0"/>
              </w:rPr>
              <w:t xml:space="preserve">10</w:t>
            </w:r>
            <w:commentRangeEnd w:id="4"/>
            <w:r w:rsidRPr="00000000" w:rsidR="00000000" w:rsidDel="00000000">
              <w:commentReference w:id="4"/>
            </w:r>
            <w:commentRangeEnd w:id="5"/>
            <w:r w:rsidRPr="00000000" w:rsidR="00000000" w:rsidDel="00000000">
              <w:commentReference w:id="5"/>
            </w:r>
            <w:r w:rsidRPr="00000000" w:rsidR="00000000" w:rsidDel="00000000">
              <w:rPr>
                <w:rFonts w:cs="Tahoma" w:hAnsi="Tahoma" w:eastAsia="Tahoma" w:ascii="Tahoma"/>
                <w:b w:val="1"/>
                <w:sz w:val="20"/>
                <w:rtl w:val="0"/>
              </w:rPr>
              <w:t xml:space="preserve">.-24.8.</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Deutsch-polnischer Tandem-Kurs in Zusammenarbeit mit dem Edith-Stein-Haus Wrocław. TeilnehmerInnen aus beiden Ländern lernen die Sprache des Nachbarn und ihre Nachbarn besser kennen.</w:t>
            </w:r>
            <w:r w:rsidRPr="00000000" w:rsidR="00000000" w:rsidDel="00000000">
              <w:rPr>
                <w:rFonts w:cs="Tahoma" w:hAnsi="Tahoma" w:eastAsia="Tahoma" w:ascii="Tahoma"/>
                <w:sz w:val="26"/>
                <w:rtl w:val="0"/>
              </w:rPr>
              <w:tab/>
            </w:r>
            <w:r w:rsidRPr="00000000" w:rsidR="00000000" w:rsidDel="00000000">
              <w:rPr>
                <w:rFonts w:cs="Tahoma" w:hAnsi="Tahoma" w:eastAsia="Tahoma" w:ascii="Tahoma"/>
                <w:b w:val="1"/>
                <w:sz w:val="26"/>
                <w:rtl w:val="0"/>
              </w:rPr>
              <w:tab/>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ahoma" w:hAnsi="Tahoma" w:eastAsia="Tahoma" w:ascii="Tahoma"/>
                <w:b w:val="1"/>
                <w:sz w:val="26"/>
                <w:rtl w:val="0"/>
              </w:rPr>
              <w:t xml:space="preserve">September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13.9.</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sz w:val="20"/>
                <w:rtl w:val="0"/>
              </w:rPr>
              <w:t xml:space="preserve">Fokus </w:t>
              <w:tab/>
              <w:t xml:space="preserve">Festival – Betreuung und Programm der Open Stage sowie Stand zur Präsentation des MEETINGPOINT MUSIC MESSIAEN</w:t>
            </w:r>
            <w:r w:rsidRPr="00000000" w:rsidR="00000000" w:rsidDel="00000000">
              <w:rPr>
                <w:rFonts w:cs="Tahoma" w:hAnsi="Tahoma" w:eastAsia="Tahoma" w:ascii="Tahoma"/>
                <w:b w:val="1"/>
                <w:sz w:val="26"/>
                <w:rtl w:val="0"/>
              </w:rPr>
              <w:tab/>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ahoma" w:hAnsi="Tahoma" w:eastAsia="Tahoma" w:ascii="Tahoma"/>
                <w:b w:val="1"/>
                <w:sz w:val="20"/>
                <w:rtl w:val="0"/>
              </w:rPr>
              <w:t xml:space="preserve">26.9.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sz w:val="20"/>
                <w:rtl w:val="0"/>
              </w:rPr>
              <w:t xml:space="preserve">„</w:t>
            </w:r>
            <w:r w:rsidRPr="00000000" w:rsidR="00000000" w:rsidDel="00000000">
              <w:rPr>
                <w:sz w:val="20"/>
                <w:rtl w:val="0"/>
              </w:rPr>
              <w:t xml:space="preserve">Treffpunkt in der Mitte Europas – Führung auf dem Stalag VIII A“ im Rahmen der </w:t>
            </w:r>
            <w:commentRangeStart w:id="6"/>
            <w:commentRangeStart w:id="7"/>
            <w:r w:rsidRPr="00000000" w:rsidR="00000000" w:rsidDel="00000000">
              <w:rPr>
                <w:rFonts w:cs="Tahoma" w:hAnsi="Tahoma" w:eastAsia="Tahoma" w:ascii="Tahoma"/>
                <w:sz w:val="20"/>
                <w:rtl w:val="0"/>
              </w:rPr>
              <w:t xml:space="preserve">Aktionstage</w:t>
            </w:r>
            <w:commentRangeEnd w:id="6"/>
            <w:r w:rsidRPr="00000000" w:rsidR="00000000" w:rsidDel="00000000">
              <w:commentReference w:id="6"/>
            </w:r>
            <w:commentRangeEnd w:id="7"/>
            <w:r w:rsidRPr="00000000" w:rsidR="00000000" w:rsidDel="00000000">
              <w:commentReference w:id="7"/>
            </w:r>
            <w:r w:rsidRPr="00000000" w:rsidR="00000000" w:rsidDel="00000000">
              <w:rPr>
                <w:rFonts w:cs="Tahoma" w:hAnsi="Tahoma" w:eastAsia="Tahoma" w:ascii="Tahoma"/>
                <w:sz w:val="20"/>
                <w:rtl w:val="0"/>
              </w:rPr>
              <w:t xml:space="preserve"> „Lernen beflügelt!“ 2014 </w:t>
            </w:r>
            <w:r w:rsidRPr="00000000" w:rsidR="00000000" w:rsidDel="00000000">
              <w:rPr>
                <w:rFonts w:cs="Tahoma" w:hAnsi="Tahoma" w:eastAsia="Tahoma" w:ascii="Tahoma"/>
                <w:b w:val="1"/>
                <w:sz w:val="20"/>
                <w:rtl w:val="0"/>
              </w:rPr>
              <w:tab/>
            </w:r>
            <w:r w:rsidRPr="00000000" w:rsidR="00000000" w:rsidDel="00000000">
              <w:rPr>
                <w:rtl w:val="0"/>
              </w:rPr>
            </w:r>
          </w:p>
        </w:tc>
      </w:tr>
      <w:tr>
        <w:trPr>
          <w:trHeight w:val="46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sz w:val="20"/>
                <w:rtl w:val="0"/>
              </w:rPr>
              <w:t xml:space="preserve">27.9.</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rPr/>
            </w:pPr>
            <w:r w:rsidRPr="00000000" w:rsidR="00000000" w:rsidDel="00000000">
              <w:rPr>
                <w:rFonts w:cs="Tahoma" w:hAnsi="Tahoma" w:eastAsia="Tahoma" w:ascii="Tahoma"/>
                <w:sz w:val="20"/>
                <w:rtl w:val="0"/>
              </w:rPr>
              <w:t xml:space="preserve">„</w:t>
            </w:r>
            <w:r w:rsidRPr="00000000" w:rsidR="00000000" w:rsidDel="00000000">
              <w:rPr>
                <w:sz w:val="20"/>
                <w:rtl w:val="0"/>
              </w:rPr>
              <w:t xml:space="preserve">Metallskulpturen und Messiaens Quartett“ - Führung mit dem Metallbaukünstler Matthias Beier auf dem Gelände des ehem. Stalag VIII A im Rahmen der </w:t>
            </w:r>
            <w:commentRangeStart w:id="6"/>
            <w:commentRangeStart w:id="7"/>
            <w:r w:rsidRPr="00000000" w:rsidR="00000000" w:rsidDel="00000000">
              <w:rPr>
                <w:rFonts w:cs="Tahoma" w:hAnsi="Tahoma" w:eastAsia="Tahoma" w:ascii="Tahoma"/>
                <w:sz w:val="20"/>
                <w:rtl w:val="0"/>
              </w:rPr>
              <w:t xml:space="preserve">Aktionstage</w:t>
            </w:r>
            <w:commentRangeEnd w:id="6"/>
            <w:r w:rsidRPr="00000000" w:rsidR="00000000" w:rsidDel="00000000">
              <w:commentReference w:id="6"/>
            </w:r>
            <w:commentRangeEnd w:id="7"/>
            <w:r w:rsidRPr="00000000" w:rsidR="00000000" w:rsidDel="00000000">
              <w:commentReference w:id="7"/>
            </w:r>
            <w:r w:rsidRPr="00000000" w:rsidR="00000000" w:rsidDel="00000000">
              <w:rPr>
                <w:rFonts w:cs="Tahoma" w:hAnsi="Tahoma" w:eastAsia="Tahoma" w:ascii="Tahoma"/>
                <w:sz w:val="20"/>
                <w:rtl w:val="0"/>
              </w:rPr>
              <w:t xml:space="preserve"> „Lernen beflügelt!“ 2014</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rPr>
          <w:trHeight w:val="46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sz w:val="20"/>
                <w:rtl w:val="0"/>
              </w:rPr>
              <w:t xml:space="preserve">28.9.</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Fonts w:cs="Tahoma" w:hAnsi="Tahoma" w:eastAsia="Tahoma" w:ascii="Tahoma"/>
                <w:sz w:val="20"/>
                <w:rtl w:val="0"/>
              </w:rPr>
              <w:t xml:space="preserve">„</w:t>
            </w:r>
            <w:r w:rsidRPr="00000000" w:rsidR="00000000" w:rsidDel="00000000">
              <w:rPr>
                <w:sz w:val="20"/>
                <w:rtl w:val="0"/>
              </w:rPr>
              <w:t xml:space="preserve">Oprowadzenie po terenie Stalagu VIII A” w </w:t>
            </w:r>
            <w:r w:rsidRPr="00000000" w:rsidR="00000000" w:rsidDel="00000000">
              <w:rPr>
                <w:rFonts w:cs="Tahoma" w:hAnsi="Tahoma" w:eastAsia="Tahoma" w:ascii="Tahoma"/>
                <w:sz w:val="20"/>
                <w:rtl w:val="0"/>
              </w:rPr>
              <w:t xml:space="preserve">ramach akcji powiatowej „Nauka uskrzydla” 2014</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Oktober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November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color w:val="666666"/>
                <w:sz w:val="20"/>
                <w:shd w:val="clear" w:fill="fcfac6"/>
                <w:rtl w:val="0"/>
              </w:rPr>
              <w:t xml:space="preserve">Eröffnung Zentrum - erste Symposien, Seminare.</w:t>
            </w: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Tahoma" w:hAnsi="Tahoma" w:eastAsia="Tahoma" w:ascii="Tahoma"/>
                <w:b w:val="1"/>
                <w:sz w:val="26"/>
                <w:rtl w:val="0"/>
              </w:rPr>
              <w:t xml:space="preserve">Dezember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pPr>
            <w:r w:rsidRPr="00000000" w:rsidR="00000000" w:rsidDel="00000000">
              <w:rPr>
                <w:rFonts w:cs="Tahoma" w:hAnsi="Tahoma" w:eastAsia="Tahoma" w:ascii="Tahoma"/>
                <w:sz w:val="20"/>
                <w:rtl w:val="0"/>
              </w:rPr>
              <w:t xml:space="preserve">Deutsch-polnisches</w:t>
            </w:r>
            <w:r w:rsidRPr="00000000" w:rsidR="00000000" w:rsidDel="00000000">
              <w:rPr>
                <w:rFonts w:cs="Tahoma" w:hAnsi="Tahoma" w:eastAsia="Tahoma" w:ascii="Tahoma"/>
                <w:sz w:val="20"/>
                <w:rtl w:val="0"/>
              </w:rPr>
              <w:t xml:space="preserve"> Weihnachtssingen mit den Kindern der Europastadt und der Dreiländerregion</w:t>
            </w:r>
            <w:r w:rsidRPr="00000000" w:rsidR="00000000" w:rsidDel="00000000">
              <w:rPr>
                <w:rtl w:val="0"/>
              </w:rPr>
            </w:r>
          </w:p>
        </w:tc>
      </w:tr>
      <w:tr>
        <w:trPr>
          <w:trHeight w:val="60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Weiteres: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Erarbeitung einer Eröffnungsausstellung zur Geschichte des Stalag VIII A und der Kreativität im Lager durch die jungen Mitarbeiter in Zusammenarbeit mit vielen Partnern </w:t>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Generalprobenbesuche Sächsische Staatskapelle Dresden für Schüler aus Görlitz-Zgorzelec</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Konzerte für Kids und den Rest der Familie im Gerhart-Hauptmann-Theater Zittau/Görlitz</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Führungen auf dem Stalag für Angehörige, Interessierte und Gruppen</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Vertreten des MEETINGPOINT auf thematischen Tagungen, Konferenzen und Seminaren zur jungen Geschichts, Musik- und Jugendarbeit</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GESCHICHTSWERKSTATT mit Schülern der Dreiländerregion</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Zusammenarbeit mit jungen Vereinen und Partnern im Bereich grenzüberschreitende Musik, Kunst, Kultur</w:t>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ab/>
              <w:tab/>
              <w:tab/>
            </w:r>
          </w:p>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und weitere noch nicht benennbare Veranstaltungen, Projekte und Aktionen </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228725" cx="4124325"/>
            <wp:effectExtent t="0" b="0" r="0" l="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1228725" cx="41243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b w:val="1"/>
          <w:color w:val="434343"/>
          <w:sz w:val="26"/>
          <w:rtl w:val="0"/>
        </w:rPr>
        <w:t xml:space="preserve">www.messiaen.themusicpoint.net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94"/>
        <w:gridCol w:w="4466"/>
      </w:tblGrid>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7" w:type="default"/>
      <w:pgSz w:w="15840" w:h="122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4" w:date="2014-01-11T12:09:29Z" w:author="meetingpoint.seib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Geschichtstag o.ä. zum Beginn 1. Weltkrieg - Vorgeschichte zu "unserem" Thema. Ferien beachten; ggf. anderer Termin.</w:t>
      </w:r>
    </w:p>
  </w:comment>
  <w:comment w:id="5" w:date="2014-03-17T04:20:27Z" w:author="Alexandra Grochows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da ist das WK. Da sehe ich keine Kapazitäten in der Geschäftstelle.</w:t>
      </w:r>
    </w:p>
  </w:comment>
  <w:comment w:id="8" w:date="2014-01-11T12:04:17Z" w:author="meetingpoint.seib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Bitte Konzept-Thesen beachten; auch zum Titel. Konzept überarbeiten.</w:t>
      </w:r>
    </w:p>
  </w:comment>
  <w:comment w:id="1" w:date="2014-01-11T12:03:27Z" w:author="meetingpoint.seib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Juni: Teilnahme/Präsentation Europamarathon - mehr als 1000 Sportler aus ganz Deutschland, Polen, Tschechien. Kooperation mit Europamarathon-Verein anstreben; evtl. Streckenführung bis Stalag.</w:t>
      </w:r>
    </w:p>
  </w:comment>
  <w:comment w:id="2" w:date="2014-02-18T02:54:55Z" w:author="Alexandra Grochows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haben Sie da Kontakt zu jemandem? - irgendeinen Ansprechpartner?</w:t>
      </w:r>
    </w:p>
  </w:comment>
  <w:comment w:id="3" w:date="2014-02-18T13:26:41Z" w:author="meetingpoint.seib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Detlef Lübeck im Europamarathon-Büro - hab vorhin mit einer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Mitorganisatorin und künftigen MMMerin, Martina Fourier, darüber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gesprochen. Es gibt eine www-Seite.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Das Marathon-Team soll auch an der EU-Party am 1.Mai teilnehmen.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Wir können versuchen, an jenem Tag die Aufmerksamkeit auf MMM zu lenken.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Im besten Fall machen wir an diesem Tag auch die offizielle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Grundsteinlegung. Ministerium weiß Bescheid - vielleicht klappts.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Detlef Lübeck vom EM-Verein funke ich morgen an!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Am 18. Februar 2014 12:00 schrieb Alexandra Grochowska (Google Docs) &lt;</w:t>
      </w:r>
    </w:p>
  </w:comment>
  <w:comment w:id="0" w:date="2014-03-13T06:49:28Z" w:author="Richard Schönfeld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Katze</w:t>
      </w:r>
    </w:p>
  </w:comment>
  <w:comment w:id="6" w:date="2014-01-11T12:14:05Z" w:author="meetingpoint.seib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Was machen wir da? Vorschlag: Lernen/Musik/Persönlichkeitsentwicklung - Vortrag, Spielerisches Lernen o.ä. --- parallel: Führungen Stalag?</w:t>
      </w:r>
    </w:p>
  </w:comment>
  <w:comment w:id="7" w:date="2014-03-17T04:19:36Z" w:author="Alexandra Grochows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Guter Vorschlag! Die Führungen habe ich schon angemeldet. Leider fällt mir da niemand ein, der solch einen Vortrag halten könnte. Vielleicht Frau Roch? Aber wo? Im Zgorzelecer Büro vielleicht?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Tahom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drawing>
        <wp:inline distR="114300" distT="114300" distB="114300" distL="114300">
          <wp:extent cy="638175" cx="2143125"/>
          <wp:effectExtent t="0" b="0" r="0" l="0"/>
          <wp:docPr id="2"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ext cy="638175" cx="2143125"/>
                  </a:xfrm>
                  <a:prstGeom prst="rect"/>
                  <a:ln/>
                </pic:spPr>
              </pic:pic>
            </a:graphicData>
          </a:graphic>
        </wp:inline>
      </w:drawing>
    </w:r>
    <w:r w:rsidRPr="00000000" w:rsidR="00000000" w:rsidDel="00000000">
      <w:rPr>
        <w:rFonts w:cs="Tahoma" w:hAnsi="Tahoma" w:eastAsia="Tahoma" w:ascii="Tahoma"/>
        <w:b w:val="1"/>
        <w:color w:val="e69138"/>
        <w:sz w:val="20"/>
        <w:rtl w:val="0"/>
      </w:rPr>
      <w:tab/>
      <w:tab/>
      <w:tab/>
    </w:r>
    <w:r w:rsidRPr="00000000" w:rsidR="00000000" w:rsidDel="00000000">
      <w:rPr>
        <w:rFonts w:cs="Tahoma" w:hAnsi="Tahoma" w:eastAsia="Tahoma" w:ascii="Tahoma"/>
        <w:b w:val="1"/>
        <w:color w:val="e69138"/>
        <w:sz w:val="24"/>
        <w:rtl w:val="0"/>
      </w:rPr>
      <w:t xml:space="preserve">Vorläufiges Jahresprogramm 2014</w:t>
    </w:r>
    <w:r w:rsidRPr="00000000" w:rsidR="00000000" w:rsidDel="00000000">
      <w:rPr>
        <w:rFonts w:cs="Tahoma" w:hAnsi="Tahoma" w:eastAsia="Tahoma" w:ascii="Tahoma"/>
        <w:b w:val="1"/>
        <w:color w:val="ff9966"/>
        <w:sz w:val="24"/>
        <w:rtl w:val="0"/>
      </w:rPr>
      <w:t xml:space="preserve"> </w:t>
    </w:r>
    <w:r w:rsidRPr="00000000" w:rsidR="00000000" w:rsidDel="00000000">
      <w:rPr>
        <w:rFonts w:cs="Tahoma" w:hAnsi="Tahoma" w:eastAsia="Tahoma" w:ascii="Tahoma"/>
        <w:b w:val="1"/>
        <w:color w:val="ff9966"/>
        <w:sz w:val="20"/>
        <w:rtl w:val="0"/>
      </w:rPr>
      <w:t xml:space="preserve"> </w:t>
      <w:tab/>
      <w:tab/>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edia/image00.png" Type="http://schemas.openxmlformats.org/officeDocument/2006/relationships/image" Id="rId6"/><Relationship Target="styles.xml" Type="http://schemas.openxmlformats.org/officeDocument/2006/relationships/styles" Id="rId5"/><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 Jahresprogramm 2014.docx</dc:title>
</cp:coreProperties>
</file>